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w14="http://schemas.microsoft.com/office/word/2010/wordml" xmlns:wp14="http://schemas.microsoft.com/office/word/2010/wordprocessingDrawing" mc:Ignorable="w14 wp14">
  <w:body>
    <w:p>
      <w:pPr>
        <w:pStyle w:val="Title"/>
      </w:pPr>
      <w:r>
        <w:t>КОММЕРЧЕСКОЕ ПРЕДЛОЖЕНИЕ</w:t>
      </w:r>
    </w:p>
    <w:p>
      <w:pPr>
        <w:pStyle w:val="Subtitle"/>
      </w:pPr>
      <w:r>
        <w:t>Разработка приложений и серверных утилит FreshBackup Manager</w:t>
      </w:r>
    </w:p>
    <w:p>
      <w:r>
        <w:t>Предмет предложения — разработка настольного приложения или серверной консольной утилиты для получения, проверки и хранения резервных архивов информационных баз сервиса «1С:Фреш» на компьютере или сервере заказчика.</w:t>
      </w:r>
    </w:p>
    <w:p>
      <w:r>
        <w:t>По запросу разрабатываются настольное приложение с графическим интерфейсом и серверная консольная утилита без GUI для Windows Server или Linux. Консольный вариант предусматривает запуск из командной строки, конфигурационный файл, коды завершения и журналирование; автоматический запуск настраивается через systemd/cron или Планировщик заданий Windows. Формат поставки, целевые ОС, установка, сопровождение и стоимость каждого варианта согласуются отдельно.</w:t>
      </w:r>
    </w:p>
    <w:p>
      <w:pPr>
        <w:pStyle w:val="Heading1"/>
      </w:pPr>
      <w:r>
        <w:t>Стоимость и условия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Показатель</w:t>
            </w:r>
          </w:p>
        </w:tc>
        <w:tc>
          <w:tcPr>
            <w:tcW w:type="dxa" w:w="4915"/>
            <w:vAlign w:val="center"/>
          </w:tcPr>
          <w:p>
            <w:r>
              <w:t>Предложение</w:t>
            </w:r>
          </w:p>
        </w:tc>
      </w:tr>
      <w:tr>
        <w:tc>
          <w:tcPr>
            <w:tcW w:type="dxa" w:w="4915"/>
            <w:vAlign w:val="center"/>
          </w:tcPr>
          <w:p>
            <w:r>
              <w:t>Стоимость разработки и внедрения</w:t>
            </w:r>
          </w:p>
        </w:tc>
        <w:tc>
          <w:tcPr>
            <w:tcW w:type="dxa" w:w="4915"/>
            <w:vAlign w:val="center"/>
          </w:tcPr>
          <w:p>
            <w:r>
              <w:t>Простые системы: ориентировочно 30 000–50 000 ₽; более сложные — по договорной цене после анализа требований</w:t>
            </w:r>
          </w:p>
        </w:tc>
      </w:tr>
      <w:tr>
        <w:tc>
          <w:tcPr>
            <w:tcW w:type="dxa" w:w="4915"/>
            <w:vAlign w:val="center"/>
          </w:tcPr>
          <w:p>
            <w:r>
              <w:t>Налоги, сборы, комиссии посредников</w:t>
            </w:r>
          </w:p>
        </w:tc>
        <w:tc>
          <w:tcPr>
            <w:tcW w:type="dxa" w:w="4915"/>
            <w:vAlign w:val="center"/>
          </w:tcPr>
          <w:p>
            <w:r>
              <w:t>Состав и учёт налогов, сборов и комиссий указываются в индивидуальной смете и договоре</w:t>
            </w:r>
          </w:p>
        </w:tc>
      </w:tr>
      <w:tr>
        <w:tc>
          <w:tcPr>
            <w:tcW w:type="dxa" w:w="4915"/>
            <w:vAlign w:val="center"/>
          </w:tcPr>
          <w:p>
            <w:r>
              <w:t>Предлагаемый срок</w:t>
            </w:r>
          </w:p>
        </w:tc>
        <w:tc>
          <w:tcPr>
            <w:tcW w:type="dxa" w:w="4915"/>
            <w:vAlign w:val="center"/>
          </w:tcPr>
          <w:p>
            <w:r>
              <w:t>Индивидуально, после согласования объёма работ и тестового доступа</w:t>
            </w:r>
          </w:p>
        </w:tc>
      </w:tr>
      <w:tr>
        <w:tc>
          <w:tcPr>
            <w:tcW w:type="dxa" w:w="4915"/>
            <w:vAlign w:val="center"/>
          </w:tcPr>
          <w:p>
            <w:r>
              <w:t>Формат результата</w:t>
            </w:r>
          </w:p>
        </w:tc>
        <w:tc>
          <w:tcPr>
            <w:tcW w:type="dxa" w:w="4915"/>
            <w:vAlign w:val="center"/>
          </w:tcPr>
          <w:p>
            <w:r>
              <w:t>Исходный код, согласованная сборка приложения или серверной утилиты, конфигурация и инструкция</w:t>
            </w:r>
          </w:p>
        </w:tc>
      </w:tr>
      <w:tr>
        <w:tc>
          <w:tcPr>
            <w:tcW w:type="dxa" w:w="4915"/>
            <w:vAlign w:val="center"/>
          </w:tcPr>
          <w:p>
            <w:r>
              <w:t>Порядок оплаты (предлагаемый)</w:t>
            </w:r>
          </w:p>
        </w:tc>
        <w:tc>
          <w:tcPr>
            <w:tcW w:type="dxa" w:w="4915"/>
            <w:vAlign w:val="center"/>
          </w:tcPr>
          <w:p>
            <w:r>
              <w:t>Этапы, размер аванса и платежи согласуются в договоре</w:t>
            </w:r>
          </w:p>
        </w:tc>
      </w:tr>
      <w:tr>
        <w:tc>
          <w:tcPr>
            <w:tcW w:type="dxa" w:w="4915"/>
            <w:vAlign w:val="center"/>
          </w:tcPr>
          <w:p>
            <w:r>
              <w:t>Гарантия на исправление дефектов реализации</w:t>
            </w:r>
          </w:p>
        </w:tc>
        <w:tc>
          <w:tcPr>
            <w:tcW w:type="dxa" w:w="4915"/>
            <w:vAlign w:val="center"/>
          </w:tcPr>
          <w:p>
            <w:r>
              <w:t>30 календарных дней после подписания акта приёмки</w:t>
            </w:r>
          </w:p>
        </w:tc>
      </w:tr>
    </w:tbl>
    <w:p>
      <w:r>
        <w:t>Простые системы резервного копирования — ориентировочно 30 000–50 000 ₽. Более сложные системы — по договорной цене. Итоговая стоимость определяется по количеству и объёму баз, инфраструктуре и согласованным требованиям. Уведомления, SMTP, интеграции и другие дополнительные функции согласуются и оплачиваются отдельно. Состав работ, сроки, налоги, сторонние расходы и порядок оплаты закрепляются в индивидуальном предложении и договоре.</w:t>
      </w:r>
    </w:p>
    <w:p>
      <w:r>
        <w:t>Стоимость зависит от количества и объёма баз, числа организаций и подключений, способов доступа к архивам, частоты и параллельности загрузок, сроков и мест хранения, требований к безопасности, уведомлениям и мониторингу, интеграций, развёртывания, проверки восстановления и сопровождения.</w:t>
      </w:r>
    </w:p>
    <w:p>
      <w:r>
        <w:t>Для расчёта нужны перечень и объёмы баз, схема инфраструктуры, доступные способы выгрузки, расписание, политика хранения и требования к восстановлению. После обследования согласуются состав работ, смета, сроки, этапы и критерии приёмки. Дополнительные работы и изменения требований оцениваются отдельно до их выполнения.</w:t>
      </w:r>
    </w:p>
    <w:p>
      <w:pPr>
        <w:pStyle w:val="Heading1"/>
      </w:pPr>
      <w:r>
        <w:t>Возможный состав работ</w:t>
      </w:r>
    </w:p>
    <w:p>
      <w:r>
        <w:t>Перечень ниже служит основой для обсуждения. В проект входят только работы, явно согласованные в ТЗ и смете.</w:t>
      </w:r>
    </w:p>
    <w:p>
      <w:pPr>
        <w:pStyle w:val="ListBullet"/>
      </w:pPr>
      <w:r>
        <w:t>Настольное приложение FreshBackup Manager с русскоязычным графическим интерфейсом либо серверная консольная утилита без GUI; формат и целевая платформа согласуются в ТЗ.</w:t>
      </w:r>
    </w:p>
    <w:p>
      <w:pPr>
        <w:pStyle w:val="ListBullet"/>
      </w:pPr>
      <w:r>
        <w:t>Подключение к 1С:Фреш с использованием доступного и разрешённого механизма авторизации; проверка соединения и получение списка доступных баз.</w:t>
      </w:r>
    </w:p>
    <w:p>
      <w:pPr>
        <w:pStyle w:val="ListBullet"/>
      </w:pPr>
      <w:r>
        <w:t>Выбор одной либо нескольких информационных баз; загрузка архивов вручную и по расписанию.</w:t>
      </w:r>
    </w:p>
    <w:p>
      <w:pPr>
        <w:pStyle w:val="ListBullet"/>
      </w:pPr>
      <w:r>
        <w:t>Повторные попытки при сетевых сбоях и продолжение загрузки при поддержке сервером HTTP Range; без ложного обещания обязательного докачивания.</w:t>
      </w:r>
    </w:p>
    <w:p>
      <w:pPr>
        <w:pStyle w:val="ListBullet"/>
      </w:pPr>
      <w:r>
        <w:t>Проверка целостности ZIP, вычисление SHA-256, безопасная запись во временный файл с публикацией после успешной проверки.</w:t>
      </w:r>
    </w:p>
    <w:p>
      <w:pPr>
        <w:pStyle w:val="ListBullet"/>
      </w:pPr>
      <w:r>
        <w:t>Выбор каталога, хранение указанного количества локальных копий для каждой базы, журнал событий и ошибок.</w:t>
      </w:r>
    </w:p>
    <w:p>
      <w:pPr>
        <w:pStyle w:val="ListBullet"/>
      </w:pPr>
      <w:r>
        <w:t>Запуск в системном трее, ручное скачивание через меню трея, настройки автозапуска и расписания.</w:t>
      </w:r>
    </w:p>
    <w:p>
      <w:pPr>
        <w:pStyle w:val="ListBullet"/>
      </w:pPr>
      <w:r>
        <w:t>Сборка, краткое руководство, сценарии тестирования и передача исходных кодов.</w:t>
      </w:r>
    </w:p>
    <w:p>
      <w:pPr>
        <w:pStyle w:val="Heading1"/>
      </w:pPr>
      <w:r>
        <w:t>Как будет работать</w:t>
      </w:r>
    </w:p>
    <w:p>
      <w:pPr>
        <w:ind w:left="312" w:hanging="255"/>
      </w:pPr>
      <w:r>
        <w:t>1. Пользователь задаёт параметры подключения к сервису и проверяет доступ.</w:t>
      </w:r>
    </w:p>
    <w:p>
      <w:pPr>
        <w:ind w:left="312" w:hanging="255"/>
      </w:pPr>
      <w:r>
        <w:t>2. Программа показывает доступные информационные базы и позволяет выбрать нужные.</w:t>
      </w:r>
    </w:p>
    <w:p>
      <w:pPr>
        <w:ind w:left="312" w:hanging="255"/>
      </w:pPr>
      <w:r>
        <w:t>3. Пользователь задаёт папку, количество сохраняемых архивов и расписание.</w:t>
      </w:r>
    </w:p>
    <w:p>
      <w:pPr>
        <w:ind w:left="312" w:hanging="255"/>
      </w:pPr>
      <w:r>
        <w:t>4. Загрузка происходит вручную либо автоматически; результаты и ошибки отображаются в журнале.</w:t>
      </w:r>
    </w:p>
    <w:p>
      <w:pPr>
        <w:ind w:left="312" w:hanging="255"/>
      </w:pPr>
      <w:r>
        <w:t>5. Программа проверяет архив и сохраняет его, после чего применяет правила хранения копий.</w:t>
      </w:r>
    </w:p>
    <w:p>
      <w:pPr>
        <w:pStyle w:val="Heading1"/>
      </w:pPr>
      <w:r>
        <w:t>Визуальный ориентир</w:t>
      </w:r>
    </w:p>
    <w:p>
      <w:r>
        <w:t>Ниже — пример интерфейса, приложенный к исходным материалам. Финальный дизайн уточняется на этапе согласования макетов.</w:t>
      </w:r>
    </w:p>
    <w:p>
      <w:r>
        <w:drawing>
          <wp:inline>
            <wp:extent cx="5652000" cy="35877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databas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587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Границы проекта и оговорки</w:t>
      </w:r>
    </w:p>
    <w:p>
      <w:pPr>
        <w:pStyle w:val="ListBullet"/>
      </w:pPr>
      <w:r>
        <w:t>Приложение скачивает резервные архивы, но не восстанавливает их в локальную информационную базу 1С. Восстановление выполняется средствами 1С.</w:t>
      </w:r>
    </w:p>
    <w:p>
      <w:pPr>
        <w:pStyle w:val="ListBullet"/>
      </w:pPr>
      <w:r>
        <w:t>Автоматизация возможна только при наличии у заказчика необходимых прав и технически доступных механизмов сервиса; изменение стороннего API требует отдельного согласования.</w:t>
      </w:r>
    </w:p>
    <w:p>
      <w:pPr>
        <w:pStyle w:val="ListBullet"/>
      </w:pPr>
      <w:r>
        <w:t>Серверный консольный вариант, Windows Server/Linux и развёртывание доступны по отдельному согласованию и оплачиваются отдельно. Поддержка macOS, облачная панель управления, создание архивов на стороне 1С и внешние хранилища также требуют отдельной оценки.</w:t>
      </w:r>
    </w:p>
    <w:p>
      <w:pPr>
        <w:pStyle w:val="ListBullet"/>
      </w:pPr>
      <w:r>
        <w:t>Лицензии 1С, доступ к 1С:Фреш, внешняя инфраструктура и сторонние платные компоненты не входят в цену.</w:t>
      </w:r>
    </w:p>
    <w:p>
      <w:pPr>
        <w:pStyle w:val="ListBullet"/>
      </w:pPr>
      <w:r>
        <w:t>Перед запуском проекта стороны утверждают ТЗ, порядок передачи доступов, критерии приёмки и условия использования исходного кода.</w:t>
      </w:r>
    </w:p>
    <w:p>
      <w:pPr>
        <w:pStyle w:val="Heading1"/>
      </w:pPr>
      <w:r>
        <w:t>Дополнительные возможности — по отдельному согласованию</w:t>
      </w:r>
    </w:p>
    <w:p>
      <w:r>
        <w:t>Перечисленные ниже функции могут быть разработаны по запросу заказчика. Они не входят в согласованный объём проекта автоматически: каждая опция оплачивается отдельно, её состав, сроки, стоимость и критерии приёмки утверждаются до начала работ в отдельной смете или дополнительном соглашении.</w:t>
      </w:r>
    </w:p>
    <w:p>
      <w:r>
        <w:t>Уведомления на почту и в мессенджеры. Оповещения об успешном копировании, ошибках и повторных сбоях, пропущенном запуске, отсутствии свежей копии, нехватке места и результате проверки архива. Каналы, получатели и перечень событий согласуются отдельно; подключение мессенджеров — через доступные официальные API или ботов.</w:t>
      </w:r>
    </w:p>
    <w:p>
      <w:r>
        <w:t>Гибкие сценарии оповещения. Мгновенные сообщения о сбоях, подтверждения успешных операций, ежедневные или еженедельные сводки. Настройка правил по базам и группам, уровней важности, времени отправки и эскалации ответственным сотрудникам.</w:t>
      </w:r>
    </w:p>
    <w:p>
      <w:r>
        <w:t>SMTP под инфраструктуру заказчика. Подключение к SMTP-серверу заказчика либо, по отдельному запросу, разработка встроенного SMTP-компонента или развёртывание собственного SMTP-сервера/ретранслятора в согласованном контуре. Настройка доставки и сопровождение сервера согласуются и оплачиваются отдельно.</w:t>
      </w:r>
    </w:p>
    <w:p>
      <w:r>
        <w:t>Другие расширения системы. Дополнительные хранилища, шифрование архивов, многоуровневое хранение, централизованный мониторинг, роли пользователей, интеграции с другими системами и автоматизированные проверки восстановления. Реализуемость и состав каждого расширения определяются после обследования.</w:t>
      </w:r>
    </w:p>
    <w:p>
      <w:pPr>
        <w:pStyle w:val="Heading1"/>
      </w:pPr>
      <w:r>
        <w:t>Этапы и оплата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77"/>
        <w:gridCol w:w="3277"/>
        <w:gridCol w:w="3277"/>
      </w:tblGrid>
      <w:tr>
        <w:tc>
          <w:tcPr>
            <w:tcW w:type="dxa" w:w="3277"/>
            <w:vAlign w:val="center"/>
          </w:tcPr>
          <w:p>
            <w:r>
              <w:t>Этап</w:t>
            </w:r>
          </w:p>
        </w:tc>
        <w:tc>
          <w:tcPr>
            <w:tcW w:type="dxa" w:w="3277"/>
            <w:vAlign w:val="center"/>
          </w:tcPr>
          <w:p>
            <w:r>
              <w:t>Содержание</w:t>
            </w:r>
          </w:p>
        </w:tc>
        <w:tc>
          <w:tcPr>
            <w:tcW w:type="dxa" w:w="3277"/>
            <w:vAlign w:val="center"/>
          </w:tcPr>
          <w:p>
            <w:r>
              <w:t>Условия оплаты</w:t>
            </w:r>
          </w:p>
        </w:tc>
      </w:tr>
      <w:tr>
        <w:tc>
          <w:tcPr>
            <w:tcW w:type="dxa" w:w="3277"/>
            <w:vAlign w:val="center"/>
          </w:tcPr>
          <w:p>
            <w:r>
              <w:t>1. Согласование</w:t>
            </w:r>
          </w:p>
        </w:tc>
        <w:tc>
          <w:tcPr>
            <w:tcW w:type="dxa" w:w="3277"/>
            <w:vAlign w:val="center"/>
          </w:tcPr>
          <w:p>
            <w:r>
              <w:t>ТЗ, доступы, макеты, тестовый контур</w:t>
            </w:r>
          </w:p>
        </w:tc>
        <w:tc>
          <w:tcPr>
            <w:tcW w:type="dxa" w:w="3277"/>
            <w:vAlign w:val="center"/>
          </w:tcPr>
          <w:p>
            <w:r>
              <w:t>По согласованному графику платежей</w:t>
            </w:r>
          </w:p>
        </w:tc>
      </w:tr>
      <w:tr>
        <w:tc>
          <w:tcPr>
            <w:tcW w:type="dxa" w:w="3277"/>
            <w:vAlign w:val="center"/>
          </w:tcPr>
          <w:p>
            <w:r>
              <w:t>2. Разработка</w:t>
            </w:r>
          </w:p>
        </w:tc>
        <w:tc>
          <w:tcPr>
            <w:tcW w:type="dxa" w:w="3277"/>
            <w:vAlign w:val="center"/>
          </w:tcPr>
          <w:p>
            <w:r>
              <w:t>Подключение, интерфейс, загрузки, расписание, журнал</w:t>
            </w:r>
          </w:p>
        </w:tc>
        <w:tc>
          <w:tcPr>
            <w:tcW w:type="dxa" w:w="3277"/>
            <w:vAlign w:val="center"/>
          </w:tcPr>
          <w:p>
            <w:r>
              <w:t>В согласованной смете</w:t>
            </w:r>
          </w:p>
        </w:tc>
      </w:tr>
      <w:tr>
        <w:tc>
          <w:tcPr>
            <w:tcW w:type="dxa" w:w="3277"/>
            <w:vAlign w:val="center"/>
          </w:tcPr>
          <w:p>
            <w:r>
              <w:t>3. Проверка и сдача</w:t>
            </w:r>
          </w:p>
        </w:tc>
        <w:tc>
          <w:tcPr>
            <w:tcW w:type="dxa" w:w="3277"/>
            <w:vAlign w:val="center"/>
          </w:tcPr>
          <w:p>
            <w:r>
              <w:t>Тесты, устранение дефектов, сборка и документация</w:t>
            </w:r>
          </w:p>
        </w:tc>
        <w:tc>
          <w:tcPr>
            <w:tcW w:type="dxa" w:w="3277"/>
            <w:vAlign w:val="center"/>
          </w:tcPr>
          <w:p>
            <w:r>
              <w:t>По согласованному графику платежей</w:t>
            </w:r>
          </w:p>
        </w:tc>
      </w:tr>
    </w:tbl>
    <w:p>
      <w:r>
        <w:t>Предложение носит информационный характер и становится обязательством сторон после согласования ТЗ и заключения договора.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62" w:bottom="1049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46E"/>
        <w:sz w:val="16"/>
      </w:rPr>
      <w:t>21 октября 2026  •  Документ для согласования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9646E"/>
      </w:rPr>
      <w:t>SI TECH  /  FRESHBACKUP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1A37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