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a="http://schemas.openxmlformats.org/drawingml/2006/main" xmlns:mc="http://schemas.openxmlformats.org/markup-compatibility/2006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w14="http://schemas.microsoft.com/office/word/2010/wordml" xmlns:wp14="http://schemas.microsoft.com/office/word/2010/wordprocessingDrawing" mc:Ignorable="w14 wp14">
  <w:body>
    <w:p>
      <w:pPr>
        <w:pStyle w:val="Title"/>
      </w:pPr>
      <w:r>
        <w:t>ТЕХНИЧЕСКОЕ ЗАДАНИЕ</w:t>
      </w:r>
    </w:p>
    <w:p>
      <w:pPr>
        <w:pStyle w:val="Subtitle"/>
      </w:pPr>
      <w:r>
        <w:t>FreshBackup Manager • настольное приложение для локального резервного копирования баз 1С:Фреш • Python</w:t>
      </w:r>
    </w:p>
    <w:p>
      <w:pPr>
        <w:pStyle w:val="Heading1"/>
      </w:pPr>
      <w:r>
        <w:t>1. Назначение и статус</w:t>
      </w:r>
    </w:p>
    <w:p>
      <w:r>
        <w:t>Разработать настольную программу FreshBackup Manager для скачивания архивов информационных баз, доступных пользователю в «1С:Фреш», на локальный компьютер. ТЗ описывает проектируемую реализацию. Функции обобщены по переданным скриншотам FreshBackup Manager версии 1.0.8, а не объявлены подтверждёнными возможностями текущего сервиса.</w:t>
      </w:r>
    </w:p>
    <w:p>
      <w:pPr>
        <w:pStyle w:val="Subtitle"/>
      </w:pPr>
      <w:r>
        <w:t>Стоимость и сроки реализации определяются индивидуально после анализа требований. Стоимость зависит от количества и объёма баз, числа организаций и подключений, способов доступа к архивам, частоты и параллельности загрузок, сроков и мест хранения, требований к безопасности, уведомлениям и мониторингу, интеграций, развёртывания, проверки восстановления и сопровождения. Для расчёта нужны перечень и объёмы баз, схема инфраструктуры, доступные способы выгрузки, расписание, политика хранения и требования к восстановлению. После обследования согласуются состав работ, смета, сроки, этапы и критерии приёмки. Дополнительные работы и изменения требований оцениваются отдельно до их выполнения.</w:t>
      </w:r>
    </w:p>
    <w:p>
      <w:r>
        <w:t>Предлагаемая базовая платформа — Windows 10/11 x64; целевые ОС и объём реализации согласуются для конкретного проекта. Язык интерфейса — русский. Доступ к сервису осуществляется с законными полномочиями пользователя.</w:t>
      </w:r>
    </w:p>
    <w:p>
      <w:pPr>
        <w:pStyle w:val="Heading1"/>
      </w:pPr>
      <w:r>
        <w:t>Дополнительные возможности — по отдельному согласованию</w:t>
      </w:r>
    </w:p>
    <w:p>
      <w:r>
        <w:t>Перечисленные ниже функции могут быть разработаны по запросу заказчика. Они не входят в согласованный объём проекта автоматически: каждая опция оплачивается отдельно, её состав, сроки, стоимость и критерии приёмки утверждаются до начала работ в отдельной смете или дополнительном соглашении.</w:t>
      </w:r>
    </w:p>
    <w:p>
      <w:r>
        <w:t>Уведомления на почту и в мессенджеры. Оповещения об успешном копировании, ошибках и повторных сбоях, пропущенном запуске, отсутствии свежей копии, нехватке места и результате проверки архива. Каналы, получатели и перечень событий согласуются отдельно; подключение мессенджеров — через доступные официальные API или ботов.</w:t>
      </w:r>
    </w:p>
    <w:p>
      <w:r>
        <w:t>Гибкие сценарии оповещения. Мгновенные сообщения о сбоях, подтверждения успешных операций, ежедневные или еженедельные сводки. Настройка правил по базам и группам, уровней важности, времени отправки и эскалации ответственным сотрудникам.</w:t>
      </w:r>
    </w:p>
    <w:p>
      <w:r>
        <w:t>SMTP под инфраструктуру заказчика. Подключение к SMTP-серверу заказчика либо, по отдельному запросу, разработка встроенного SMTP-компонента или развёртывание собственного SMTP-сервера/ретранслятора в согласованном контуре. Настройка доставки и сопровождение сервера согласуются и оплачиваются отдельно.</w:t>
      </w:r>
    </w:p>
    <w:p>
      <w:r>
        <w:t>Другие расширения системы. Дополнительные хранилища, шифрование архивов, многоуровневое хранение, централизованный мониторинг, роли пользователей, интеграции с другими системами и автоматизированные проверки восстановления. Реализуемость и состав каждого расширения определяются после обследования.</w:t>
      </w:r>
    </w:p>
    <w:p>
      <w:pPr>
        <w:pStyle w:val="Heading1"/>
      </w:pPr>
      <w:r>
        <w:t>2. Технологии и структура</w:t>
      </w:r>
    </w:p>
    <w:p>
      <w:pPr>
        <w:pStyle w:val="ListBullet"/>
      </w:pPr>
      <w:r>
        <w:t>Python 3.12+ (точная минорная версия фиксируется на старте); интерфейс PySide6/Qt Widgets; фоновая работа без блокировки UI через QThread/worker.</w:t>
      </w:r>
    </w:p>
    <w:p>
      <w:pPr>
        <w:pStyle w:val="ListBullet"/>
      </w:pPr>
      <w:r>
        <w:t>HTTP-клиент httpx; повторы с backoff, тайм-ауты и потоковая запись на диск; запрет логирования секретов.</w:t>
      </w:r>
    </w:p>
    <w:p>
      <w:pPr>
        <w:pStyle w:val="ListBullet"/>
      </w:pPr>
      <w:r>
        <w:t>SQLite для локальных метаданных и журнала операций; настройки в пользовательском профиле. Секреты — через Windows Credential Manager (библиотека keyring), не в открытом JSON.</w:t>
      </w:r>
    </w:p>
    <w:p>
      <w:pPr>
        <w:pStyle w:val="ListBullet"/>
      </w:pPr>
      <w:r>
        <w:t>Планировщик APScheduler либо эквивалентный механизм с корректной обработкой выхода из сна и предотвращением двойного запуска.</w:t>
      </w:r>
    </w:p>
    <w:p>
      <w:pPr>
        <w:pStyle w:val="ListBullet"/>
      </w:pPr>
      <w:r>
        <w:t>Контроль SHA-256 средствами hashlib; тест ZIP через zipfile с учётом ресурсных ограничений и особенностей архива.</w:t>
      </w:r>
    </w:p>
    <w:p>
      <w:pPr>
        <w:pStyle w:val="ListBullet"/>
      </w:pPr>
      <w:r>
        <w:t>Сборка для Windows через PyInstaller; README, requirements/lock-файл, инструкции сборки и воспроизводимый пакет релиза.</w:t>
      </w:r>
    </w:p>
    <w:p>
      <w:pPr>
        <w:pStyle w:val="Heading1"/>
      </w:pPr>
      <w:r>
        <w:t>3. Архитектурные модули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Модуль</w:t>
            </w:r>
          </w:p>
        </w:tc>
        <w:tc>
          <w:tcPr>
            <w:tcW w:type="dxa" w:w="4915"/>
            <w:vAlign w:val="center"/>
          </w:tcPr>
          <w:p>
            <w:r>
              <w:t>Ответственность</w:t>
            </w:r>
          </w:p>
        </w:tc>
      </w:tr>
      <w:tr>
        <w:tc>
          <w:tcPr>
            <w:tcW w:type="dxa" w:w="4915"/>
            <w:vAlign w:val="center"/>
          </w:tcPr>
          <w:p>
            <w:r>
              <w:t>GUI</w:t>
            </w:r>
          </w:p>
        </w:tc>
        <w:tc>
          <w:tcPr>
            <w:tcW w:type="dxa" w:w="4915"/>
            <w:vAlign w:val="center"/>
          </w:tcPr>
          <w:p>
            <w:r>
              <w:t>Вкладки и формы, таблица баз, индикаторы состояния, трей</w:t>
            </w:r>
          </w:p>
        </w:tc>
      </w:tr>
      <w:tr>
        <w:tc>
          <w:tcPr>
            <w:tcW w:type="dxa" w:w="4915"/>
            <w:vAlign w:val="center"/>
          </w:tcPr>
          <w:p>
            <w:r>
              <w:t>Auth / API adapter</w:t>
            </w:r>
          </w:p>
        </w:tc>
        <w:tc>
          <w:tcPr>
            <w:tcW w:type="dxa" w:w="4915"/>
            <w:vAlign w:val="center"/>
          </w:tcPr>
          <w:p>
            <w:r>
              <w:t>Авторизация, запрос перечня баз, загрузка архива, обработка ошибок сервиса</w:t>
            </w:r>
          </w:p>
        </w:tc>
      </w:tr>
      <w:tr>
        <w:tc>
          <w:tcPr>
            <w:tcW w:type="dxa" w:w="4915"/>
            <w:vAlign w:val="center"/>
          </w:tcPr>
          <w:p>
            <w:r>
              <w:t>Backup manager</w:t>
            </w:r>
          </w:p>
        </w:tc>
        <w:tc>
          <w:tcPr>
            <w:tcW w:type="dxa" w:w="4915"/>
            <w:vAlign w:val="center"/>
          </w:tcPr>
          <w:p>
            <w:r>
              <w:t>Очередь задач, временные файлы, повторы, докачка, отмена</w:t>
            </w:r>
          </w:p>
        </w:tc>
      </w:tr>
      <w:tr>
        <w:tc>
          <w:tcPr>
            <w:tcW w:type="dxa" w:w="4915"/>
            <w:vAlign w:val="center"/>
          </w:tcPr>
          <w:p>
            <w:r>
              <w:t>Verifier</w:t>
            </w:r>
          </w:p>
        </w:tc>
        <w:tc>
          <w:tcPr>
            <w:tcW w:type="dxa" w:w="4915"/>
            <w:vAlign w:val="center"/>
          </w:tcPr>
          <w:p>
            <w:r>
              <w:t>Размер, ZIP, SHA-256, фиксация результата проверки</w:t>
            </w:r>
          </w:p>
        </w:tc>
      </w:tr>
      <w:tr>
        <w:tc>
          <w:tcPr>
            <w:tcW w:type="dxa" w:w="4915"/>
            <w:vAlign w:val="center"/>
          </w:tcPr>
          <w:p>
            <w:r>
              <w:t>Scheduler</w:t>
            </w:r>
          </w:p>
        </w:tc>
        <w:tc>
          <w:tcPr>
            <w:tcW w:type="dxa" w:w="4915"/>
            <w:vAlign w:val="center"/>
          </w:tcPr>
          <w:p>
            <w:r>
              <w:t>Запуск по расписанию, блокировка дубликатов</w:t>
            </w:r>
          </w:p>
        </w:tc>
      </w:tr>
      <w:tr>
        <w:tc>
          <w:tcPr>
            <w:tcW w:type="dxa" w:w="4915"/>
            <w:vAlign w:val="center"/>
          </w:tcPr>
          <w:p>
            <w:r>
              <w:t>Storage / retention</w:t>
            </w:r>
          </w:p>
        </w:tc>
        <w:tc>
          <w:tcPr>
            <w:tcW w:type="dxa" w:w="4915"/>
            <w:vAlign w:val="center"/>
          </w:tcPr>
          <w:p>
            <w:r>
              <w:t>Каталоги, имена файлов, безопасное удаление старых подтверждённых копий</w:t>
            </w:r>
          </w:p>
        </w:tc>
      </w:tr>
      <w:tr>
        <w:tc>
          <w:tcPr>
            <w:tcW w:type="dxa" w:w="4915"/>
            <w:vAlign w:val="center"/>
          </w:tcPr>
          <w:p>
            <w:r>
              <w:t>Repository / log</w:t>
            </w:r>
          </w:p>
        </w:tc>
        <w:tc>
          <w:tcPr>
            <w:tcW w:type="dxa" w:w="4915"/>
            <w:vAlign w:val="center"/>
          </w:tcPr>
          <w:p>
            <w:r>
              <w:t>SQLite, история операций, диагностические сведения</w:t>
            </w:r>
          </w:p>
        </w:tc>
      </w:tr>
    </w:tbl>
    <w:p>
      <w:pPr>
        <w:pStyle w:val="Heading1"/>
      </w:pPr>
      <w:r>
        <w:t>4. Экраны и сценарии интерфейса</w:t>
      </w:r>
    </w:p>
    <w:p>
      <w:pPr>
        <w:pStyle w:val="Heading2"/>
      </w:pPr>
      <w:r>
        <w:t>4.1. «Подключение»</w:t>
      </w:r>
    </w:p>
    <w:p>
      <w:pPr>
        <w:pStyle w:val="ListBullet"/>
      </w:pPr>
      <w:r>
        <w:t>Поля: адрес сервиса HTTPS (по умолчанию https://1cfresh.com, редактируемый), логин пользователя, пароль/доступный способ авторизации, код абонента при необходимости.</w:t>
      </w:r>
    </w:p>
    <w:p>
      <w:pPr>
        <w:pStyle w:val="ListBullet"/>
      </w:pPr>
      <w:r>
        <w:t>Кнопки: «Проверить подключение», «Обновить список баз», «Сохранить настройки». Маскирование секретов; отображение статуса соединения.</w:t>
      </w:r>
    </w:p>
    <w:p>
      <w:pPr>
        <w:pStyle w:val="ListBullet"/>
      </w:pPr>
      <w:r>
        <w:t>Ошибки: неверные учётные данные, отсутствие полномочий, недоступность сети, серверный отказ, несовместимый интерфейс. Секретные значения не должны появляться в журнале.</w:t>
      </w:r>
    </w:p>
    <w:p>
      <w:pPr>
        <w:pStyle w:val="Heading2"/>
      </w:pPr>
      <w:r>
        <w:t>4.2. «Информационные базы»</w:t>
      </w:r>
    </w:p>
    <w:p>
      <w:pPr>
        <w:pStyle w:val="ListBullet"/>
      </w:pPr>
      <w:r>
        <w:t>Таблица: отметка выбора, код базы, наименование, конфигурация, версия, дата последней успешной локальной копии.</w:t>
      </w:r>
    </w:p>
    <w:p>
      <w:pPr>
        <w:pStyle w:val="ListBullet"/>
      </w:pPr>
      <w:r>
        <w:t>Множественный выбор баз, сохранение выделенных баз между запусками; недоступные в следующем ответе API базы показываются с понятным статусом.</w:t>
      </w:r>
    </w:p>
    <w:p>
      <w:pPr>
        <w:pStyle w:val="ListBullet"/>
      </w:pPr>
      <w:r>
        <w:t>Кнопка «Скачать копии сейчас» обрабатывает отмеченные базы последовательно; при отсутствии выбранных баз — сообщение с предложением выбрать базы.</w:t>
      </w:r>
    </w:p>
    <w:p>
      <w:r>
        <w:drawing>
          <wp:inline>
            <wp:extent cx="5580000" cy="35420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shbackup-databas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542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4.3. «Расписание и хранение»</w:t>
      </w:r>
    </w:p>
    <w:p>
      <w:pPr>
        <w:pStyle w:val="ListBullet"/>
      </w:pPr>
      <w:r>
        <w:t>Включение автоматического скачивания; периодичность: ежедневно, еженедельно, ежемесячно, либо через заданный интервал (часов).</w:t>
      </w:r>
    </w:p>
    <w:p>
      <w:pPr>
        <w:pStyle w:val="ListBullet"/>
      </w:pPr>
      <w:r>
        <w:t>Поля: локальное время запуска, день недели/месяца или интервал, базовая папка, количество сохраняемых копий на каждую базу (по умолчанию 10).</w:t>
      </w:r>
    </w:p>
    <w:p>
      <w:pPr>
        <w:pStyle w:val="ListBullet"/>
      </w:pPr>
      <w:r>
        <w:t>Режим трея: приложение продолжает работать при закрытии окна в трей; «Выход» полностью останавливает процесс. Автозапуск с Windows — включаемая настройка.</w:t>
      </w:r>
    </w:p>
    <w:p>
      <w:pPr>
        <w:pStyle w:val="ListBullet"/>
      </w:pPr>
      <w:r>
        <w:t>При пропуске времени из-за сна/выключенного ПК: не более одного догоняющего запуска после возобновления при включённой опции; решение фиксируется в журнале.</w:t>
      </w:r>
    </w:p>
    <w:p>
      <w:r>
        <w:drawing>
          <wp:inline>
            <wp:extent cx="5580000" cy="40701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eshbackup-schedu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07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4.4. «Журнал» и нижняя панель</w:t>
      </w:r>
    </w:p>
    <w:p>
      <w:pPr>
        <w:pStyle w:val="ListBullet"/>
      </w:pPr>
      <w:r>
        <w:t>Журнал: дата/время, база, событие, статус, сообщение, путь к файлу; поиск/фильтр по базе и результату; экспорт в TXT или CSV.</w:t>
      </w:r>
    </w:p>
    <w:p>
      <w:pPr>
        <w:pStyle w:val="ListBullet"/>
      </w:pPr>
      <w:r>
        <w:t>Нижняя панель: текущая база и этап, процент по полученным байтам при известном размере, скорость, загружено/всего, число задач очереди.</w:t>
      </w:r>
    </w:p>
    <w:p>
      <w:pPr>
        <w:pStyle w:val="ListBullet"/>
      </w:pPr>
      <w:r>
        <w:t>Трей: «Открыть FreshBackup Manager», «Скачать выбранные копии сейчас», «Выход». Результат команды из трея отображается уведомлением или записью в журнале.</w:t>
      </w:r>
    </w:p>
    <w:p>
      <w:pPr>
        <w:pStyle w:val="Heading1"/>
      </w:pPr>
      <w:r>
        <w:t>5. Алгоритм резервного копирования</w:t>
      </w:r>
    </w:p>
    <w:p>
      <w:pPr>
        <w:ind w:left="312" w:hanging="255"/>
      </w:pPr>
      <w:r>
        <w:t>1. Проверить доступность сервиса, полномочия и наличие отмеченных баз; сформировать последовательную очередь задач.</w:t>
      </w:r>
    </w:p>
    <w:p>
      <w:pPr>
        <w:ind w:left="312" w:hanging="255"/>
      </w:pPr>
      <w:r>
        <w:t>2. Для каждой базы запросить доступный архив через поддерживаемый сервисом механизм; зафиксировать идентификатор операции и метаданные.</w:t>
      </w:r>
    </w:p>
    <w:p>
      <w:pPr>
        <w:ind w:left="312" w:hanging="255"/>
      </w:pPr>
      <w:r>
        <w:t>3. Скачивать потоково в отдельный временный файл *.part, не объявляя такой файл резервной копией; регулярно обновлять индикатор.</w:t>
      </w:r>
    </w:p>
    <w:p>
      <w:pPr>
        <w:ind w:left="312" w:hanging="255"/>
      </w:pPr>
      <w:r>
        <w:t>4. При временном обрыве сделать до 8 повторов с нарастающей задержкой 2–60 секунд; докачивать по HTTP Range только при подтверждённой поддержке и валидности серверного ответа/ETag; иначе начинать файл заново.</w:t>
      </w:r>
    </w:p>
    <w:p>
      <w:pPr>
        <w:ind w:left="312" w:hanging="255"/>
      </w:pPr>
      <w:r>
        <w:t>5. После скачивания проверить ожидаемый размер, если он известен; структурную читаемость ZIP и CRC файлов с учётом ограничений ресурсов; рассчитать SHA-256. При наличии эталонного SHA-256 сверить его; иначе сохранить локальную контрольную сумму как свидетельство неизменности после скачивания.</w:t>
      </w:r>
    </w:p>
    <w:p>
      <w:pPr>
        <w:ind w:left="312" w:hanging="255"/>
      </w:pPr>
      <w:r>
        <w:t>6. После успешных проверок атомарно переименовать временный файл в финальный ZIP в пределах одного тома и записать сведения о нём в базу метаданных.</w:t>
      </w:r>
    </w:p>
    <w:p>
      <w:pPr>
        <w:ind w:left="312" w:hanging="255"/>
      </w:pPr>
      <w:r>
        <w:t>7. Только после появления успешной новой копии применять политику хранения: удалять превышающие лимит проверенные локальные архивы данной базы; при ошибке удаления предупреждать, но не скрывать факт успеха загрузки.</w:t>
      </w:r>
    </w:p>
    <w:p>
      <w:pPr>
        <w:ind w:left="312" w:hanging="255"/>
      </w:pPr>
      <w:r>
        <w:t>8. Ошибку конкретной базы фиксировать отдельно и продолжать очередь, если остальные базы не зависят от неё.</w:t>
      </w:r>
    </w:p>
    <w:p>
      <w:pPr>
        <w:pStyle w:val="Heading1"/>
      </w:pPr>
      <w:r>
        <w:t>6. Именование и файловая структура</w:t>
      </w:r>
    </w:p>
    <w:p>
      <w:r>
        <w:t>Рекомендуемый путь: &lt;Папка пользователя&gt;\&lt;КодБазы&gt;\&lt;КороткоеИмя&gt;_&lt;КодБазы&gt;_&lt;ГГГГ-ММ-ДДTЧЧ-ММ-СС&gt;_&lt;ID&gt;.zip. Символы, запрещённые Windows, нормализуются. Коллизии имён не допускаются. В одной папке остаются *.part лишь до завершения / последующего безопасного возобновления.</w:t>
      </w:r>
    </w:p>
    <w:p>
      <w:pPr>
        <w:pStyle w:val="Heading1"/>
      </w:pPr>
      <w:r>
        <w:t>7. Модель данных (SQLite)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Сущность</w:t>
            </w:r>
          </w:p>
        </w:tc>
        <w:tc>
          <w:tcPr>
            <w:tcW w:type="dxa" w:w="4915"/>
            <w:vAlign w:val="center"/>
          </w:tcPr>
          <w:p>
            <w:r>
              <w:t>Основные поля</w:t>
            </w:r>
          </w:p>
        </w:tc>
      </w:tr>
      <w:tr>
        <w:tc>
          <w:tcPr>
            <w:tcW w:type="dxa" w:w="4915"/>
            <w:vAlign w:val="center"/>
          </w:tcPr>
          <w:p>
            <w:r>
              <w:t>bases</w:t>
            </w:r>
          </w:p>
        </w:tc>
        <w:tc>
          <w:tcPr>
            <w:tcW w:type="dxa" w:w="4915"/>
            <w:vAlign w:val="center"/>
          </w:tcPr>
          <w:p>
            <w:r>
              <w:t>id, code, title, config_name, config_version, selected, last_seen_at</w:t>
            </w:r>
          </w:p>
        </w:tc>
      </w:tr>
      <w:tr>
        <w:tc>
          <w:tcPr>
            <w:tcW w:type="dxa" w:w="4915"/>
            <w:vAlign w:val="center"/>
          </w:tcPr>
          <w:p>
            <w:r>
              <w:t>jobs</w:t>
            </w:r>
          </w:p>
        </w:tc>
        <w:tc>
          <w:tcPr>
            <w:tcW w:type="dxa" w:w="4915"/>
            <w:vAlign w:val="center"/>
          </w:tcPr>
          <w:p>
            <w:r>
              <w:t>id, base_id, source_id, trigger(manual/schedule/tray), state, attempts, bytes_received, bytes_total, created_at, started_at, finished_at, error_code, error_text</w:t>
            </w:r>
          </w:p>
        </w:tc>
      </w:tr>
      <w:tr>
        <w:tc>
          <w:tcPr>
            <w:tcW w:type="dxa" w:w="4915"/>
            <w:vAlign w:val="center"/>
          </w:tcPr>
          <w:p>
            <w:r>
              <w:t>backups</w:t>
            </w:r>
          </w:p>
        </w:tc>
        <w:tc>
          <w:tcPr>
            <w:tcW w:type="dxa" w:w="4915"/>
            <w:vAlign w:val="center"/>
          </w:tcPr>
          <w:p>
            <w:r>
              <w:t>id, base_id, filename, file_size, sha256, zip_verified, created_at, verified_at, source_created_at</w:t>
            </w:r>
          </w:p>
        </w:tc>
      </w:tr>
      <w:tr>
        <w:tc>
          <w:tcPr>
            <w:tcW w:type="dxa" w:w="4915"/>
            <w:vAlign w:val="center"/>
          </w:tcPr>
          <w:p>
            <w:r>
              <w:t>settings</w:t>
            </w:r>
          </w:p>
        </w:tc>
        <w:tc>
          <w:tcPr>
            <w:tcW w:type="dxa" w:w="4915"/>
            <w:vAlign w:val="center"/>
          </w:tcPr>
          <w:p>
            <w:r>
              <w:t>key, value (без хранения паролей и токенов)</w:t>
            </w:r>
          </w:p>
        </w:tc>
      </w:tr>
      <w:tr>
        <w:tc>
          <w:tcPr>
            <w:tcW w:type="dxa" w:w="4915"/>
            <w:vAlign w:val="center"/>
          </w:tcPr>
          <w:p>
            <w:r>
              <w:t>events</w:t>
            </w:r>
          </w:p>
        </w:tc>
        <w:tc>
          <w:tcPr>
            <w:tcW w:type="dxa" w:w="4915"/>
            <w:vAlign w:val="center"/>
          </w:tcPr>
          <w:p>
            <w:r>
              <w:t>id, job_id, occurred_at, level, message</w:t>
            </w:r>
          </w:p>
        </w:tc>
      </w:tr>
    </w:tbl>
    <w:p>
      <w:pPr>
        <w:pStyle w:val="Heading1"/>
      </w:pPr>
      <w:r>
        <w:t>8. Состояния задач и обработка ошибок</w:t>
      </w:r>
    </w:p>
    <w:p>
      <w:r>
        <w:t>Состояния: queued → connecting → downloading → verifying → completed; дополнительные: retry_wait, failed, cancelled. Переход из verifying в completed разрешён только после проверок и финальной записи файла.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Код / ситуация</w:t>
            </w:r>
          </w:p>
        </w:tc>
        <w:tc>
          <w:tcPr>
            <w:tcW w:type="dxa" w:w="4915"/>
            <w:vAlign w:val="center"/>
          </w:tcPr>
          <w:p>
            <w:r>
              <w:t>Поведение</w:t>
            </w:r>
          </w:p>
        </w:tc>
      </w:tr>
      <w:tr>
        <w:tc>
          <w:tcPr>
            <w:tcW w:type="dxa" w:w="4915"/>
            <w:vAlign w:val="center"/>
          </w:tcPr>
          <w:p>
            <w:r>
              <w:t>AUTH_FAILED</w:t>
            </w:r>
          </w:p>
        </w:tc>
        <w:tc>
          <w:tcPr>
            <w:tcW w:type="dxa" w:w="4915"/>
            <w:vAlign w:val="center"/>
          </w:tcPr>
          <w:p>
            <w:r>
              <w:t>Показать ошибку авторизации; повтор без бесконечных запросов</w:t>
            </w:r>
          </w:p>
        </w:tc>
      </w:tr>
      <w:tr>
        <w:tc>
          <w:tcPr>
            <w:tcW w:type="dxa" w:w="4915"/>
            <w:vAlign w:val="center"/>
          </w:tcPr>
          <w:p>
            <w:r>
              <w:t>NO_ACCESS / NO_ARCHIVE</w:t>
            </w:r>
          </w:p>
        </w:tc>
        <w:tc>
          <w:tcPr>
            <w:tcW w:type="dxa" w:w="4915"/>
            <w:vAlign w:val="center"/>
          </w:tcPr>
          <w:p>
            <w:r>
              <w:t>Сохранить причину; перейти к следующей базе</w:t>
            </w:r>
          </w:p>
        </w:tc>
      </w:tr>
      <w:tr>
        <w:tc>
          <w:tcPr>
            <w:tcW w:type="dxa" w:w="4915"/>
            <w:vAlign w:val="center"/>
          </w:tcPr>
          <w:p>
            <w:r>
              <w:t>TIMEOUT / NETWORK_LOST</w:t>
            </w:r>
          </w:p>
        </w:tc>
        <w:tc>
          <w:tcPr>
            <w:tcW w:type="dxa" w:w="4915"/>
            <w:vAlign w:val="center"/>
          </w:tcPr>
          <w:p>
            <w:r>
              <w:t>Ограниченные повторные попытки; продолжение при валидном Range</w:t>
            </w:r>
          </w:p>
        </w:tc>
      </w:tr>
      <w:tr>
        <w:tc>
          <w:tcPr>
            <w:tcW w:type="dxa" w:w="4915"/>
            <w:vAlign w:val="center"/>
          </w:tcPr>
          <w:p>
            <w:r>
              <w:t>DISK_FULL / PERMISSION_DENIED</w:t>
            </w:r>
          </w:p>
        </w:tc>
        <w:tc>
          <w:tcPr>
            <w:tcW w:type="dxa" w:w="4915"/>
            <w:vAlign w:val="center"/>
          </w:tcPr>
          <w:p>
            <w:r>
              <w:t>Прервать соответствующую загрузку, не удалять старые копии</w:t>
            </w:r>
          </w:p>
        </w:tc>
      </w:tr>
      <w:tr>
        <w:tc>
          <w:tcPr>
            <w:tcW w:type="dxa" w:w="4915"/>
            <w:vAlign w:val="center"/>
          </w:tcPr>
          <w:p>
            <w:r>
              <w:t>ZIP_INVALID / CHECKSUM_MISMATCH</w:t>
            </w:r>
          </w:p>
        </w:tc>
        <w:tc>
          <w:tcPr>
            <w:tcW w:type="dxa" w:w="4915"/>
            <w:vAlign w:val="center"/>
          </w:tcPr>
          <w:p>
            <w:r>
              <w:t>Не публиковать файл как успешную копию; сохранить диагностический результат</w:t>
            </w:r>
          </w:p>
        </w:tc>
      </w:tr>
      <w:tr>
        <w:tc>
          <w:tcPr>
            <w:tcW w:type="dxa" w:w="4915"/>
            <w:vAlign w:val="center"/>
          </w:tcPr>
          <w:p>
            <w:r>
              <w:t>APP_EXIT / CANCELLED</w:t>
            </w:r>
          </w:p>
        </w:tc>
        <w:tc>
          <w:tcPr>
            <w:tcW w:type="dxa" w:w="4915"/>
            <w:vAlign w:val="center"/>
          </w:tcPr>
          <w:p>
            <w:r>
              <w:t>Корректная остановка; временный файл обрабатывается по политике возобновления</w:t>
            </w:r>
          </w:p>
        </w:tc>
      </w:tr>
    </w:tbl>
    <w:p>
      <w:pPr>
        <w:pStyle w:val="Heading1"/>
      </w:pPr>
      <w:r>
        <w:t>9. Безопасность</w:t>
      </w:r>
    </w:p>
    <w:p>
      <w:pPr>
        <w:pStyle w:val="ListBullet"/>
      </w:pPr>
      <w:r>
        <w:t>HTTPS и штатная проверка сертификата без опции «игнорировать SSL» по умолчанию; никаких необоснованных обходов механизмов защиты сервиса.</w:t>
      </w:r>
    </w:p>
    <w:p>
      <w:pPr>
        <w:pStyle w:val="ListBullet"/>
      </w:pPr>
      <w:r>
        <w:t>Учётные данные и токены не записываются в лог и SQLite в открытом виде; хранение через системное хранилище секретов.</w:t>
      </w:r>
    </w:p>
    <w:p>
      <w:pPr>
        <w:pStyle w:val="ListBullet"/>
      </w:pPr>
      <w:r>
        <w:t>Защита от path traversal в именах архивов; запись только внутрь выбранной пользователем директории.</w:t>
      </w:r>
    </w:p>
    <w:p>
      <w:pPr>
        <w:pStyle w:val="ListBullet"/>
      </w:pPr>
      <w:r>
        <w:t>При экспорте диагностик обезличивать идентификаторы и адреса по настройке; ограничить логи по размеру и сроку.</w:t>
      </w:r>
    </w:p>
    <w:p>
      <w:pPr>
        <w:pStyle w:val="ListBullet"/>
      </w:pPr>
      <w:r>
        <w:t>Не выполнять автоматическую загрузку ZIP в рабочую информационную базу 1С, не модифицировать архив и не открывать вложенные объекты для исполнения.</w:t>
      </w:r>
    </w:p>
    <w:p>
      <w:pPr>
        <w:pStyle w:val="Heading1"/>
      </w:pPr>
      <w:r>
        <w:t>10. Требования к качеству и тесты</w:t>
      </w:r>
    </w:p>
    <w:p>
      <w:pPr>
        <w:pStyle w:val="ListBullet"/>
      </w:pPr>
      <w:r>
        <w:t>Модульные тесты: расписание (включая смену месяца), формирование имён, политика хранения, переходы состояний и повторов.</w:t>
      </w:r>
    </w:p>
    <w:p>
      <w:pPr>
        <w:pStyle w:val="ListBullet"/>
      </w:pPr>
      <w:r>
        <w:t>Интеграционные тесты на тестовом сервере HTTP: авторизация, streaming, разрывы соединения, Range 206/200, ETag mismatch, сервер 429/5xx, отсутствие архива.</w:t>
      </w:r>
    </w:p>
    <w:p>
      <w:pPr>
        <w:pStyle w:val="ListBullet"/>
      </w:pPr>
      <w:r>
        <w:t>Файловые тесты: диск заполнен, нет прав доступа, повреждённый ZIP, неожиданный размер, смена имени файла.</w:t>
      </w:r>
    </w:p>
    <w:p>
      <w:pPr>
        <w:pStyle w:val="ListBullet"/>
      </w:pPr>
      <w:r>
        <w:t>GUI-тесты: выбор нескольких баз, сохранение настроек, сворачивание в трей, командное скачивание из трея, отмена операции, перезапуск программы.</w:t>
      </w:r>
    </w:p>
    <w:p>
      <w:pPr>
        <w:pStyle w:val="ListBullet"/>
      </w:pPr>
      <w:r>
        <w:t>Длительная проверка: запуск по расписанию с переходом через ночь и восстановлением системы после сна.</w:t>
      </w:r>
    </w:p>
    <w:p>
      <w:pPr>
        <w:pStyle w:val="ListBullet"/>
      </w:pPr>
      <w:r>
        <w:t>Тесты реального сервиса возможны при предоставлении тестового аккаунта и разрешённого метода работы с архивами.</w:t>
      </w:r>
    </w:p>
    <w:p>
      <w:pPr>
        <w:pStyle w:val="Heading1"/>
      </w:pPr>
      <w:r>
        <w:t>11. Критерии приёмки</w:t>
      </w:r>
    </w:p>
    <w:p>
      <w:pPr>
        <w:ind w:left="312" w:hanging="255"/>
      </w:pPr>
      <w:r>
        <w:t>1. Установка Windows-сборки на чистую тестовую машину и запуск без установленного Python.</w:t>
      </w:r>
    </w:p>
    <w:p>
      <w:pPr>
        <w:ind w:left="312" w:hanging="255"/>
      </w:pPr>
      <w:r>
        <w:t>2. Успешное подключение к доступному тестовому аккаунту 1С:Фреш и корректный перечень баз при наличии согласованного доступа.</w:t>
      </w:r>
    </w:p>
    <w:p>
      <w:pPr>
        <w:ind w:left="312" w:hanging="255"/>
      </w:pPr>
      <w:r>
        <w:t>3. Выбор минимум двух баз, сохранение выбора и последовательная загрузка архивов по кнопке.</w:t>
      </w:r>
    </w:p>
    <w:p>
      <w:pPr>
        <w:ind w:left="312" w:hanging="255"/>
      </w:pPr>
      <w:r>
        <w:t>4. Прерывание сети в ходе загрузки с подтверждённым корректным повтором и докачкой при поддержке Range.</w:t>
      </w:r>
    </w:p>
    <w:p>
      <w:pPr>
        <w:ind w:left="312" w:hanging="255"/>
      </w:pPr>
      <w:r>
        <w:t>5. Ни один непроверенный *.part не считается архивом; ZIP проходит проверку и получает SHA-256.</w:t>
      </w:r>
    </w:p>
    <w:p>
      <w:pPr>
        <w:ind w:left="312" w:hanging="255"/>
      </w:pPr>
      <w:r>
        <w:t>6. Автоматический запуск задачи по расписанию и запуск вручную из системного трея.</w:t>
      </w:r>
    </w:p>
    <w:p>
      <w:pPr>
        <w:ind w:left="312" w:hanging="255"/>
      </w:pPr>
      <w:r>
        <w:t>7. Установленный лимит числа сохранённых успешных архивов на базу соблюдается, даже если число ошибок меняется.</w:t>
      </w:r>
    </w:p>
    <w:p>
      <w:pPr>
        <w:ind w:left="312" w:hanging="255"/>
      </w:pPr>
      <w:r>
        <w:t>8. История попыток и ошибок доступна в журнале, без паролей и токенов.</w:t>
      </w:r>
    </w:p>
    <w:p>
      <w:pPr>
        <w:ind w:left="312" w:hanging="255"/>
      </w:pPr>
      <w:r>
        <w:t>9. Переданы исходный код, инструкции запуска/сборки, исполняемый пакет и отчёт по приёмочным сценариям.</w:t>
      </w:r>
    </w:p>
    <w:p>
      <w:pPr>
        <w:pStyle w:val="Heading1"/>
      </w:pPr>
      <w:r>
        <w:t>12. План исполнения и условия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15"/>
        <w:gridCol w:w="4915"/>
      </w:tblGrid>
      <w:tr>
        <w:tc>
          <w:tcPr>
            <w:tcW w:type="dxa" w:w="4915"/>
            <w:vAlign w:val="center"/>
          </w:tcPr>
          <w:p>
            <w:r>
              <w:t>Этап</w:t>
            </w:r>
          </w:p>
        </w:tc>
        <w:tc>
          <w:tcPr>
            <w:tcW w:type="dxa" w:w="4915"/>
            <w:vAlign w:val="center"/>
          </w:tcPr>
          <w:p>
            <w:r>
              <w:t>Результат</w:t>
            </w:r>
          </w:p>
        </w:tc>
      </w:tr>
      <w:tr>
        <w:tc>
          <w:tcPr>
            <w:tcW w:type="dxa" w:w="4915"/>
            <w:vAlign w:val="center"/>
          </w:tcPr>
          <w:p>
            <w:r>
              <w:t>Анализ и прототип</w:t>
            </w:r>
          </w:p>
        </w:tc>
        <w:tc>
          <w:tcPr>
            <w:tcW w:type="dxa" w:w="4915"/>
            <w:vAlign w:val="center"/>
          </w:tcPr>
          <w:p>
            <w:r>
              <w:t>Проверка способов доступа к архивам; согласованные экраны</w:t>
            </w:r>
          </w:p>
        </w:tc>
      </w:tr>
      <w:tr>
        <w:tc>
          <w:tcPr>
            <w:tcW w:type="dxa" w:w="4915"/>
            <w:vAlign w:val="center"/>
          </w:tcPr>
          <w:p>
            <w:r>
              <w:t>Реализация</w:t>
            </w:r>
          </w:p>
        </w:tc>
        <w:tc>
          <w:tcPr>
            <w:tcW w:type="dxa" w:w="4915"/>
            <w:vAlign w:val="center"/>
          </w:tcPr>
          <w:p>
            <w:r>
              <w:t>API-адаптер, очередь и скачивание, SQLite</w:t>
            </w:r>
          </w:p>
        </w:tc>
      </w:tr>
      <w:tr>
        <w:tc>
          <w:tcPr>
            <w:tcW w:type="dxa" w:w="4915"/>
            <w:vAlign w:val="center"/>
          </w:tcPr>
          <w:p>
            <w:r>
              <w:t>Автоматизация</w:t>
            </w:r>
          </w:p>
        </w:tc>
        <w:tc>
          <w:tcPr>
            <w:tcW w:type="dxa" w:w="4915"/>
            <w:vAlign w:val="center"/>
          </w:tcPr>
          <w:p>
            <w:r>
              <w:t>Расписание, трей, политика хранения</w:t>
            </w:r>
          </w:p>
        </w:tc>
      </w:tr>
      <w:tr>
        <w:tc>
          <w:tcPr>
            <w:tcW w:type="dxa" w:w="4915"/>
            <w:vAlign w:val="center"/>
          </w:tcPr>
          <w:p>
            <w:r>
              <w:t>Тестирование и релиз</w:t>
            </w:r>
          </w:p>
        </w:tc>
        <w:tc>
          <w:tcPr>
            <w:tcW w:type="dxa" w:w="4915"/>
            <w:vAlign w:val="center"/>
          </w:tcPr>
          <w:p>
            <w:r>
              <w:t>Реальные/тестовые прогоны, сборка, документация</w:t>
            </w:r>
          </w:p>
        </w:tc>
      </w:tr>
    </w:tbl>
    <w:p>
      <w:r>
        <w:t>Сроки определяются после анализа требований, подтверждения разрешённого способа получения архивов и предоставления тестового доступа. Изменения объёма работ и ограничения стороннего сервиса могут потребовать отдельного согласования сроков и стоимости.</w:t>
      </w:r>
    </w:p>
    <w:p>
      <w:pPr>
        <w:pStyle w:val="Heading1"/>
      </w:pPr>
      <w:r>
        <w:t>13. Исходные материалы и ограничения</w:t>
      </w:r>
    </w:p>
    <w:p>
      <w:r>
        <w:t>Основание: предоставленный документ «Разработка ПО для скачивания баз из 1С_Фреш.pdf» (7 страниц), скриншоты интерфейса и описание версии 1.0.8. Представленные материалы показывают экраны подключения, перечня баз, расписания, журнала и трея; в них отсутствует спецификация официального API 1С:Фреш, поэтому она не заявляется установленным фактом.</w:t>
      </w:r>
    </w:p>
    <w:p>
      <w:r>
        <w:t>Отдельно не входят: локальное восстановление БП/ЗУП, редактирование данных баз, веб-сервер, мобильные приложения и необозначенные интеграции. Любые дополнения оформляются отдельным согласованием.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62" w:bottom="1049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646E"/>
        <w:sz w:val="16"/>
      </w:rPr>
      <w:t>21 октября 2026  •  Документ для согласования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9646E"/>
      </w:rPr>
      <w:t>SI TECH  /  FRESHBACKUP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75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Aptos Display" w:hAnsi="Aptos Display"/>
      <w:b/>
      <w:color w:val="1A37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